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AD" w:rsidRPr="00FF69AD" w:rsidRDefault="00FF69AD" w:rsidP="00FF69AD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FF69AD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Электронный научный журнал</w:t>
      </w:r>
    </w:p>
    <w:p w:rsidR="00FF69AD" w:rsidRPr="00FF69AD" w:rsidRDefault="00FF69AD" w:rsidP="00FF69AD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b/>
          <w:bCs/>
          <w:color w:val="343434"/>
          <w:kern w:val="36"/>
          <w:sz w:val="57"/>
          <w:szCs w:val="57"/>
          <w:lang w:eastAsia="ru-RU"/>
        </w:rPr>
      </w:pPr>
      <w:r w:rsidRPr="00FF69AD">
        <w:rPr>
          <w:rFonts w:ascii="inherit" w:eastAsia="Times New Roman" w:hAnsi="inherit" w:cs="Arial"/>
          <w:b/>
          <w:bCs/>
          <w:color w:val="343434"/>
          <w:kern w:val="36"/>
          <w:sz w:val="57"/>
          <w:szCs w:val="57"/>
          <w:lang w:eastAsia="ru-RU"/>
        </w:rPr>
        <w:t xml:space="preserve">Современные проблемы науки и образования </w:t>
      </w:r>
    </w:p>
    <w:p w:rsidR="00FF69AD" w:rsidRPr="00FF69AD" w:rsidRDefault="00FF69AD" w:rsidP="00FF69AD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FF69AD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ISSN 2070-7428</w:t>
      </w:r>
    </w:p>
    <w:p w:rsidR="00FF69AD" w:rsidRPr="00FF69AD" w:rsidRDefault="00FF69AD" w:rsidP="00FF69AD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FF69AD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"Перечень" ВАК</w:t>
      </w:r>
    </w:p>
    <w:p w:rsidR="00FF69AD" w:rsidRPr="00FF69AD" w:rsidRDefault="00FF69AD" w:rsidP="00FF69AD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FF69AD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ИФ РИНЦ = 0,829</w:t>
      </w:r>
    </w:p>
    <w:p w:rsidR="00FF69AD" w:rsidRPr="00FF69AD" w:rsidRDefault="00FF69AD" w:rsidP="00FF69AD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proofErr w:type="spellStart"/>
      <w:r w:rsidRPr="00FF69AD">
        <w:rPr>
          <w:rFonts w:ascii="Open Sans" w:eastAsia="Times New Roman" w:hAnsi="Open Sans" w:cs="Arial"/>
          <w:color w:val="333333"/>
          <w:sz w:val="23"/>
          <w:szCs w:val="23"/>
          <w:bdr w:val="none" w:sz="0" w:space="0" w:color="auto" w:frame="1"/>
          <w:lang w:eastAsia="ru-RU"/>
        </w:rPr>
        <w:t>Toggle</w:t>
      </w:r>
      <w:proofErr w:type="spellEnd"/>
      <w:r w:rsidRPr="00FF69AD">
        <w:rPr>
          <w:rFonts w:ascii="Open Sans" w:eastAsia="Times New Roman" w:hAnsi="Open Sans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F69AD">
        <w:rPr>
          <w:rFonts w:ascii="Open Sans" w:eastAsia="Times New Roman" w:hAnsi="Open Sans" w:cs="Arial"/>
          <w:color w:val="333333"/>
          <w:sz w:val="23"/>
          <w:szCs w:val="23"/>
          <w:bdr w:val="none" w:sz="0" w:space="0" w:color="auto" w:frame="1"/>
          <w:lang w:eastAsia="ru-RU"/>
        </w:rPr>
        <w:t>navigation</w:t>
      </w:r>
      <w:proofErr w:type="spellEnd"/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FF69AD" w:rsidRPr="00FF69AD" w:rsidRDefault="00FF69AD" w:rsidP="00FF6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5" w:history="1">
        <w:r w:rsidRPr="00FF69AD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О журнале</w:t>
        </w:r>
      </w:hyperlink>
    </w:p>
    <w:p w:rsidR="00FF69AD" w:rsidRPr="00FF69AD" w:rsidRDefault="00FF69AD" w:rsidP="00FF6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6" w:history="1">
        <w:r w:rsidRPr="00FF69AD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Редакционная этика</w:t>
        </w:r>
      </w:hyperlink>
    </w:p>
    <w:p w:rsidR="00FF69AD" w:rsidRPr="00FF69AD" w:rsidRDefault="00FF69AD" w:rsidP="00FF6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7" w:history="1">
        <w:r w:rsidRPr="00FF69AD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Редакционная политика</w:t>
        </w:r>
      </w:hyperlink>
    </w:p>
    <w:p w:rsidR="00FF69AD" w:rsidRPr="00FF69AD" w:rsidRDefault="00FF69AD" w:rsidP="00FF6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8" w:history="1">
        <w:r w:rsidRPr="00FF69AD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Экспертный совет</w:t>
        </w:r>
      </w:hyperlink>
    </w:p>
    <w:p w:rsidR="00FF69AD" w:rsidRPr="00FF69AD" w:rsidRDefault="00FF69AD" w:rsidP="00FF6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9" w:history="1">
        <w:r w:rsidRPr="00FF69AD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Выпуски</w:t>
        </w:r>
      </w:hyperlink>
    </w:p>
    <w:p w:rsidR="00FF69AD" w:rsidRPr="00FF69AD" w:rsidRDefault="00FF69AD" w:rsidP="00FF6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10" w:history="1">
        <w:r w:rsidRPr="00FF69AD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Поиск</w:t>
        </w:r>
      </w:hyperlink>
    </w:p>
    <w:p w:rsidR="00FF69AD" w:rsidRPr="00FF69AD" w:rsidRDefault="00FF69AD" w:rsidP="00FF6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11" w:history="1">
        <w:r w:rsidRPr="00FF69AD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Правила для авторов</w:t>
        </w:r>
      </w:hyperlink>
    </w:p>
    <w:p w:rsidR="00FF69AD" w:rsidRPr="00FF69AD" w:rsidRDefault="00FF69AD" w:rsidP="00FF69AD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2" w:history="1">
        <w:r w:rsidRPr="00FF69AD">
          <w:rPr>
            <w:rFonts w:ascii="Open Sans" w:eastAsia="Times New Roman" w:hAnsi="Open Sans" w:cs="Arial"/>
            <w:color w:val="3D78D8"/>
            <w:sz w:val="21"/>
            <w:szCs w:val="21"/>
            <w:lang w:eastAsia="ru-RU"/>
          </w:rPr>
          <w:t>Личный портфель</w:t>
        </w:r>
      </w:hyperlink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FF69AD" w:rsidRPr="00FF69AD" w:rsidRDefault="00FF69AD" w:rsidP="00FF69AD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3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Главная</w:t>
        </w:r>
      </w:hyperlink>
    </w:p>
    <w:p w:rsidR="00FF69AD" w:rsidRPr="00FF69AD" w:rsidRDefault="00FF69AD" w:rsidP="00FF69AD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4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Выпуски журнала</w:t>
        </w:r>
      </w:hyperlink>
    </w:p>
    <w:p w:rsidR="00FF69AD" w:rsidRPr="00FF69AD" w:rsidRDefault="00FF69AD" w:rsidP="00FF69AD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5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Выпуск журнала № 5 за 2017 год</w:t>
        </w:r>
      </w:hyperlink>
    </w:p>
    <w:p w:rsidR="00FF69AD" w:rsidRPr="00FF69AD" w:rsidRDefault="00FF69AD" w:rsidP="00FF69AD">
      <w:pPr>
        <w:shd w:val="clear" w:color="auto" w:fill="FFFFFF"/>
        <w:spacing w:before="300" w:after="225" w:line="240" w:lineRule="auto"/>
        <w:outlineLvl w:val="2"/>
        <w:rPr>
          <w:rFonts w:ascii="inherit" w:eastAsia="Times New Roman" w:hAnsi="inherit" w:cs="Arial"/>
          <w:color w:val="343434"/>
          <w:sz w:val="33"/>
          <w:szCs w:val="33"/>
          <w:lang w:eastAsia="ru-RU"/>
        </w:rPr>
      </w:pPr>
      <w:r w:rsidRPr="00FF69AD">
        <w:rPr>
          <w:rFonts w:ascii="inherit" w:eastAsia="Times New Roman" w:hAnsi="inherit" w:cs="Arial"/>
          <w:color w:val="343434"/>
          <w:sz w:val="33"/>
          <w:szCs w:val="33"/>
          <w:lang w:eastAsia="ru-RU"/>
        </w:rPr>
        <w:t>Информация о статье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FF69AD" w:rsidRPr="00FF69AD" w:rsidRDefault="00FF69AD" w:rsidP="00FF6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Журнал</w:t>
      </w:r>
    </w:p>
    <w:p w:rsidR="00FF69AD" w:rsidRPr="00FF69AD" w:rsidRDefault="00FF69AD" w:rsidP="00FF69AD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Современные проблемы науки и образования. – 2017. – № 5 </w:t>
      </w:r>
    </w:p>
    <w:p w:rsidR="00FF69AD" w:rsidRPr="00FF69AD" w:rsidRDefault="00FF69AD" w:rsidP="00FF6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Дата публикации</w:t>
      </w:r>
    </w:p>
    <w:p w:rsidR="00FF69AD" w:rsidRPr="00FF69AD" w:rsidRDefault="00FF69AD" w:rsidP="00FF69AD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24.10.2017 </w:t>
      </w:r>
    </w:p>
    <w:p w:rsidR="00FF69AD" w:rsidRPr="00FF69AD" w:rsidRDefault="00FF69AD" w:rsidP="00FF6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Раздел</w:t>
      </w:r>
    </w:p>
    <w:p w:rsidR="00FF69AD" w:rsidRPr="00FF69AD" w:rsidRDefault="00FF69AD" w:rsidP="00FF69AD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Медицинские науки (14.01.00, 14.02.00, 14.03.00) </w:t>
      </w:r>
    </w:p>
    <w:p w:rsidR="00FF69AD" w:rsidRPr="00FF69AD" w:rsidRDefault="00FF69AD" w:rsidP="00FF6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УДК</w:t>
      </w:r>
    </w:p>
    <w:p w:rsidR="00FF69AD" w:rsidRPr="00FF69AD" w:rsidRDefault="00FF69AD" w:rsidP="00FF69AD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616.322-002.2-053.2-003.96 </w:t>
      </w:r>
    </w:p>
    <w:p w:rsidR="00FF69AD" w:rsidRPr="00FF69AD" w:rsidRDefault="00FF69AD" w:rsidP="00FF69A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43434"/>
          <w:sz w:val="33"/>
          <w:szCs w:val="33"/>
          <w:lang w:eastAsia="ru-RU"/>
        </w:rPr>
      </w:pPr>
      <w:r w:rsidRPr="00FF69AD">
        <w:rPr>
          <w:rFonts w:ascii="inherit" w:eastAsia="Times New Roman" w:hAnsi="inherit" w:cs="Arial"/>
          <w:color w:val="343434"/>
          <w:sz w:val="33"/>
          <w:szCs w:val="33"/>
          <w:lang w:eastAsia="ru-RU"/>
        </w:rPr>
        <w:t>КАЧЕСТВО ЖИЗНИ И ПОКАЗАТЕЛИ АДАПТАЦИИ У ДЕТЕЙ С ПАТОЛОГИЕЙ ГЛОТОЧНОЙ МИНДАЛИНЫ</w:t>
      </w:r>
    </w:p>
    <w:p w:rsidR="00FF69AD" w:rsidRPr="00FF69AD" w:rsidRDefault="00FF69AD" w:rsidP="00FF69AD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  <w:t>1</w:t>
      </w: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FF69AD" w:rsidRPr="00FF69AD" w:rsidRDefault="00FF69AD" w:rsidP="00FF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6" w:anchor="w0-tab0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Авторы</w:t>
        </w:r>
      </w:hyperlink>
    </w:p>
    <w:p w:rsidR="00FF69AD" w:rsidRPr="00FF69AD" w:rsidRDefault="00FF69AD" w:rsidP="00FF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7" w:anchor="w0-tab1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Резюме</w:t>
        </w:r>
      </w:hyperlink>
    </w:p>
    <w:p w:rsidR="00FF69AD" w:rsidRPr="00FF69AD" w:rsidRDefault="00FF69AD" w:rsidP="00FF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8" w:anchor="w0-tab2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Файлы</w:t>
        </w:r>
      </w:hyperlink>
    </w:p>
    <w:p w:rsidR="00FF69AD" w:rsidRPr="00FF69AD" w:rsidRDefault="00FF69AD" w:rsidP="00FF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9" w:anchor="w0-tab3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Ключевые слова</w:t>
        </w:r>
      </w:hyperlink>
    </w:p>
    <w:p w:rsidR="00FF69AD" w:rsidRPr="00FF69AD" w:rsidRDefault="00FF69AD" w:rsidP="00FF6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20" w:anchor="w0-tab4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Литература</w:t>
        </w:r>
      </w:hyperlink>
    </w:p>
    <w:p w:rsidR="00FF69AD" w:rsidRPr="00FF69AD" w:rsidRDefault="00FF69AD" w:rsidP="00FF69AD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Жмакин И.А. </w:t>
      </w:r>
      <w:r w:rsidRPr="00FF69AD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Алексеева Ю.А. </w:t>
      </w:r>
      <w:r w:rsidRPr="00FF69AD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Денисова Е.В. </w:t>
      </w:r>
      <w:r w:rsidRPr="00FF69AD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Шеховцов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В.П. </w:t>
      </w:r>
      <w:r w:rsidRPr="00FF69AD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Рыбакова М.В. </w:t>
      </w:r>
      <w:r w:rsidRPr="00FF69AD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lastRenderedPageBreak/>
        <w:pict>
          <v:rect id="_x0000_i1026" style="width:0;height:0" o:hralign="center" o:hrstd="t" o:hr="t" fillcolor="#a0a0a0" stroked="f"/>
        </w:pic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ФГБОУ ВО Тверской ГМУ Минздрава России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Проведена оценка клинических и функциональных особенностей состояния здоровья у детей с патологией глоточной миндалины. Исследование проводилось для выявления среди этих детей групп риска по снижению качества жизни и адаптационных резервов. Качество жизни оценивалось с использованием опросника PedsQL™4.0. Изучались социально-средовой анамнез, уровень физического развития, нервно-психическое здоровье, показатели периферической крови и вегетативной регуляции у детей от 5 до 12 лет. У обследованных детей (89,15 %) с патологией глоточной миндалины отмечался низкий уровень качества жизни по всем параметрам. У детей выявлено снижение адаптационных ресурсов, низкий уровень физического развития и его дисгармоничность, а также значительное напряжение вегетативной регуляции. Содержание секреторного иммуноглобулина А (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IgA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) в ротовой жидкости детей с гипертрофией глоточной миндалины было достоверно ниже уровня средних значений на фоне высоких показателей кортизола. У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наблюдались высокие показатели секреторного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IgA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при сниженном уровне кортизола в ротовой жидкости. Нами проведены расчеты показателя информативности и диагностического коэффициента. Выявлены статистически значимые факторы и им присвоены определенные баллы. По результатам данной работы были выделены группы высокого (от 5 до 20 баллов) и умеренного (от 4 баллов и ниже) риска по снижению качества жизни у детей с патологией глоточной миндалины.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noProof/>
          <w:color w:val="3D78D8"/>
          <w:sz w:val="23"/>
          <w:szCs w:val="23"/>
          <w:lang w:eastAsia="ru-RU"/>
        </w:rPr>
        <w:drawing>
          <wp:inline distT="0" distB="0" distL="0" distR="0" wp14:anchorId="159953BE" wp14:editId="6C17BE41">
            <wp:extent cx="476250" cy="476250"/>
            <wp:effectExtent l="0" t="0" r="0" b="0"/>
            <wp:docPr id="3" name="Рисунок 3" descr="http://www.science-education.ru/images/pdf-50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-education.ru/images/pdf-50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23" w:history="1">
        <w:r w:rsidRPr="00FF69AD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 xml:space="preserve">Статья в формате PDF </w:t>
        </w:r>
      </w:hyperlink>
    </w:p>
    <w:p w:rsidR="00FF69AD" w:rsidRPr="00FF69AD" w:rsidRDefault="00FF69AD" w:rsidP="00FF69AD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3275 KB</w:t>
      </w: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качество жизни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адаптация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физическое развитие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дети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патология глоточной миндалины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хронический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аденоидит</w:t>
      </w:r>
      <w:proofErr w:type="spellEnd"/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иммуноглобулин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кортизол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вегетативная регуляция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1. Баканов К.Б., Пикалова Л.П. Двигательный режим как фактор укрепления здоровья /К.Б. Баканов, Л.П. Пикалова // Физическая культура и спорт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Верхневолжья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. – 2013. – № 6. – С. 48-53.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2. Баранов А.А., Альбицкий В.Ю., Винярская И.В. Изучение качества жизни в педиатрии / А.А. Баранов, В.Ю. Альбицкий, И.В. Винярская // Социальная педиатрия.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Вып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. 10. – Москва: Союз педиатров России, 2010. – 267 с.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3. Баранов А.А., Альбицкий В.Ю., Иванова А.А.,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Терлецкая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Р.Н., Косова С.А. Тенденции заболеваемости и состояния здоровья детского населения Российской Федерации /А.А. Баранов [и др.] // Российский педиатрический журнал. – 2012. – № 6. – С. 4-9.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lastRenderedPageBreak/>
        <w:t xml:space="preserve">4. Буков Ю.А., Маркина И.В. Резервы респираторной системы и особенности метаболических реакций у детей со сниженными адаптационными резервами /Ю.А. Буков, И.В. Маркина // Естественные и технические науки. – 2015. – № 9. – С. 39-41.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5.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Дербенев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Д.П. Медико-социальный портрет подростков 12–16 лет, проживающих в городе Твери / Д.П.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Дербенев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С.В. Жуков, Е.Г.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Королюк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М.В. Рыбакова, В.П. Петров, Е.В. Беляева, Н.И. Иванова, Н.В.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Шарый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// Фундаментальные исследования. – 2015. – № 1-8. – С. 1581-1585.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6. Жмакин И.А. Охрана здоровья детей Тверской области в условиях реализации научной платформы медицинской науки «Педиатрия» / И.А. Жмакин, С.М. Кушнир // Верхневолжский медицинский журнал. – 2013. – № 4. – С. 12-15.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7. Кучма В.Р. Риски здоровью детей в процессе жизнедеятельности: проблемы, методы оценки, технологии управления /В.Р. Кучер // Российский педиатрический журнал. – 2016. – № 4. – С. 238-243.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8. Методы оценки и концепция сокращения предотвратимых потерь здоровья детского населения / под ред. А.А. Баранова и В.Ю. Альбицкого. – Москва: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ПедиатрЪ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2013. – 89 с.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9. Несмеянова Н.Н.,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Соседова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Л.М. Состояние микроэкологии слизистых верхних дыхательных путей у подростков, проживающих в городах с химической промышленностью /Н.Н. Несмеянова, Л.М.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Соседова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// Экология человека. – 2015. – № 4. – С. 32-38. 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10. Результаты профилактических медицинских осмотров несовершеннолетних в Российской Федерации / А.А. Баранов, Л.С.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Намазова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-Баранова, Р.Н.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Терлецкая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Е.Н. </w:t>
      </w:r>
      <w:proofErr w:type="spellStart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Байбарина</w:t>
      </w:r>
      <w:proofErr w:type="spellEnd"/>
      <w:r w:rsidRPr="00FF69AD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, О.В. Чумакова, Н.В. Устинова, Е.В. Антонова, Е.А. Вишнева // Российский педиатрический журнал. – 2016. – № 5. – С. 287-293.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Актуальность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В ходе анализа заболеваемости детей и подростков Российской Федерации за последние годы выявлен рост социально значимой патологии и болезней [10]. Состояние здоровья детей и подростков в большей части обусловлено действием социальных условий, медико-социальных факторов и поведенческих факторов риска, т.е. образом жизни ребенка и его семьи [5, 7]. В ходе проведения анализа информационно-статистических материалов по диспансеризации различных возрастных групп детского населения федеральных округов и субъектов Российской Федерации, а также результатов проведения профилактических медицинских осмотров несовершеннолетних было выявлено, что одной из основных причин заболеваемости у детей являются болезни органов дыхания [3]. Дети, которые часто болеют острыми респираторными заболеваниями, а также имеющие различную патологию глоточной миндалины помимо риска снижения уровня здоровья в большей степени страдают невротическими реакциями [4]. Они быстрее утомляются, хуже учатся, что в свою очередь провоцируют формирование педагогических проблем и ухудшение психологического климата в семье [1, 2]. Так, большинство родителей, дети которых часто болеют острыми респираторными заболеваниями, констатируют ухудшение качества жизни своих детей, сопровождающееся напряжением отношений между членами семьи и дефицитом внимания к друг к другу [6]. Отмечено, что у так называемых часто болеющих детей значительно чаще выявляются хронические заболевания носоглотки – хронический тонзиллит, фарингит, синусит,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[10]. Выявлено, что у них хронические заболевания ЛОР-органов встречаются приблизительно в половине случаев (42–58 %) [9]. Учитывая не только медицинскую, но и социальную значимость проблемы формирования здоровья детей с патологией глоточной миндалины, представляется важным исследование параметров качества жизни у данной категории детей для разработки комплексных мероприятий по профилактике у них заболевания ЛОР-органов, лечению и реабилитации.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Цель исследования. Целью настоящего исследования явилась оценка клинико-функциональных особенностей состояния здоровья и информативно значимых факторов для формирования групп риска по снижению качества жизни детей с патологией глоточной миндалины.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Материалы и методы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lastRenderedPageBreak/>
        <w:t>Под нашим наблюдением находилось 195 детей в возрасте от 5 до 10 лет 11 месяцев 29 дней с различным уровнем здоровья. Обследование детей проводилось на базе педиатрического отделения и ЛОР-отделения Государственного бюджетного учреждения здравоохранения Тверской области Детская городская клиническая больница № 1 (г. Тверь), а также в научно-исследовательской лаборатории подростковой медицины федерального государственного бюджетного образовательного учреждения высшего образования Тверской государственный медицинский университет Министерства здравоохранения Российской Федерации.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Для решения поставленных задач все дети были разделены методом выборочного отбора на две группы. Основную группу составили 129 детей с патологией глоточной миндалины -: из них 74 ребенка (II группа здоровья) были с гипертрофией глоточной миндалины и 55 детей (III группа здоровья)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. В контрольную группу вошли 66 детей I группы здоровья. Среди всех обследованных детей мальчиков было 105 человек, девочек – 90. Дети с хронической патологией (кроме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) для обследования не привлекались.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Используемые методы исследования включали изучение качества жизни, с применением стандартизированного,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валидизированного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 адаптированного для применения в Российской Федерации опросника (русскоязычная версия)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Pediatric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Quality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of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Life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Inventory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™ -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PedsQL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™ 4.0 (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Varni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J.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et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al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., USA) для детей и подростков от 5 до 18 лет [8]. Исследование также предусматривало комплексную оценку уровня здоровья детей, применение различных функциональных, лабораторных и биохимических методик. Родители всех детей перед началом исследования респондентов подписывали информированное добровольное согласие на их обследование, которое в обязательном порядке документировалось.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Результаты и обсуждение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При оценке качества жизни детей с использованием опросника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PedsQL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™ 4.0 было выявлено, что показатели среднего значения общего качества жизни пациентов с патологией глоточной миндалины достоверно ниже, чем у здоровых детей (рис. 1).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62E6E79" wp14:editId="2F81B723">
            <wp:extent cx="6172200" cy="3086100"/>
            <wp:effectExtent l="0" t="0" r="0" b="0"/>
            <wp:docPr id="4" name="Диаграмма 1" descr="http://www.science-education.ru/i/2017/5/23523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 descr="http://www.science-education.ru/i/2017/5/23523/image00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Рис. 1. Сравнительная оценка показателей качества жизни у обследуемых групп детей: ФФ – физическое функционирование, ЭФ – эмоциональное функционирование, СФ – социальное функционирование, РФ – ролевое функционирование, ПСФ – психосоциальное функционирование, ОКЖ – общее качество жизни (*достоверные различия в ответах детей с патологией глоточной миндалины и детей I группы здоровья p&lt; 0,05; ** достоверные различия в ответах детей с патологией глоточной миндалины и детей I группы здоровья р&lt;0,001)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lastRenderedPageBreak/>
        <w:t xml:space="preserve">При этом оценка качества жизни проводилась по таким шкалам как физическое функционирование, эмоциональное функционирование, социальное функционирование, ролевое функционирование, психосоциальное функционирование и общее качество жизни. Выявлено, что снижение показателя произошло за счет более низкого уровня физического, эмоционального, ролевого и социального аспектов функционирования (p&lt;0,01). В то же время, у детей с гипертрофией глоточной миндалины качество жизни по всем рассматриваемым аспектам достоверно выше, чем у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(p&lt;0,05).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Исследование показателей качества жизни у детей различного возраста показало, что в возрасте 5–7 лет у обследованных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по сравнению с детьми с гипертрофией глоточной миндалины достоверных различий найдено не было (рис. 2). Между тем, в сравнении с контрольной группой (значения параметров качества жизни обследуемых групп детей в возрасте от 5 до 7 лет 11 месяцев 29 дней), отмечалось достоверное снижение качества жизни по всем параметрам (р&lt;0,05).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809"/>
      </w:tblGrid>
      <w:tr w:rsidR="00FF69AD" w:rsidRPr="00FF69AD" w:rsidTr="00FF69AD">
        <w:tc>
          <w:tcPr>
            <w:tcW w:w="0" w:type="auto"/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E50F89E" wp14:editId="6DB3E5FC">
                  <wp:extent cx="2971800" cy="2733675"/>
                  <wp:effectExtent l="0" t="0" r="0" b="9525"/>
                  <wp:docPr id="5" name="Рисунок 1" descr="http://www.science-education.ru/i/2017/5/23523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cience-education.ru/i/2017/5/23523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35E8502" wp14:editId="4FB1B89F">
                  <wp:extent cx="3143250" cy="2686050"/>
                  <wp:effectExtent l="0" t="0" r="0" b="0"/>
                  <wp:docPr id="6" name="Рисунок 2" descr="http://www.science-education.ru/i/2017/5/23523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cience-education.ru/i/2017/5/23523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9AD" w:rsidRPr="00FF69AD" w:rsidTr="00FF69AD">
        <w:tc>
          <w:tcPr>
            <w:tcW w:w="0" w:type="auto"/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5-7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8-12 лет</w:t>
            </w:r>
          </w:p>
        </w:tc>
      </w:tr>
    </w:tbl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Рис. 2. Значения параметров качества жизни обследуемых детей в зависимости от возраста: - – дети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(основная группа); - – дети с гипертрофией глоточной миндалины (основная группа) - – дети из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контольной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группы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(* – достоверность различия с контрольной группой р </w:t>
      </w:r>
      <w:proofErr w:type="gram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&lt; 0</w:t>
      </w:r>
      <w:proofErr w:type="gram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,05)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У детей 8–10 лет (значения параметров качества жизни обследуемых детей в возрасте от 8 до 10 лет 11 месяцев 29 дней)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по сравнению с детьми с гипертрофией глоточной миндалины отмечалось достоверное снижение физического, ролевого, эмоционального и социального функционирования, т.е. можно предположить, что у них страдало обучение в школе. Интересен тот факт, что у детей 5–7 лет снижение качества жизни по всем показателям не носило гендерных отличий. Выявлено, что у детей 8–10 лет снижение по эмоциональному и ролевому функционированию наблюдалось преимущественно у девочек.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Почти 30 % обследованных детей с гипертрофией глоточной миндалины и около 22 %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имели нормальные значения показателей эмоционального, физического, ролевого и социального функционирования. Выявленная в процессе исследования неоднородность обследованных групп детей по перечисленным показателям указывает на то, что на параметры качества жизни ребенка, возможно, влияют не только уровень здоровья детей, но и ряд других факторов.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lastRenderedPageBreak/>
        <w:t xml:space="preserve">Для уточнения данной гипотезы на следующем этапе исследования были оценены факторы риска, влияющих на здоровье ребенка, и ряд других критериев, отражающих адаптационные резервы организма (таблица). Среди наиболее значимых онтогенетических факторов риска по снижению уровня здоровья и качества жизни у детей с патологией глоточной миндалины были выделены следующие: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экстрагенитальные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 вирусные заболевания матери во время беременности, ранний и поздний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гестозы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, перевод ребенка на искусственное вскармливание в ранние сроки, частые острые респираторные заболевания у детей на первом году жизни.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Информативность данных клинико-анамнестического и функционального обследования детей основной группы для оценки качества жизни ребенка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1653"/>
      </w:tblGrid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Информативность</w:t>
            </w:r>
          </w:p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усл</w:t>
            </w:r>
            <w:proofErr w:type="spellEnd"/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ед.)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Социально-средовой анамнез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1,7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Биологический анамнез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0,12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Генеалогический анамнез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2,1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Уровень физического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6,57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Гармоничность физического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2,67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Резистентность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4,6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Функциональное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2,8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Содержание кортизола в слюне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1,99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Содержание </w:t>
            </w:r>
            <w:proofErr w:type="spellStart"/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sIgA</w:t>
            </w:r>
            <w:proofErr w:type="spellEnd"/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 слюне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2,24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Исходный вегетативный тонус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1,25</w:t>
            </w:r>
          </w:p>
        </w:tc>
      </w:tr>
      <w:tr w:rsidR="00FF69AD" w:rsidRPr="00FF69AD" w:rsidTr="00FF6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Вегетативная реактивность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AD" w:rsidRPr="00FF69AD" w:rsidRDefault="00FF69AD" w:rsidP="00FF69AD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F69A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3,5</w:t>
            </w:r>
          </w:p>
        </w:tc>
      </w:tr>
    </w:tbl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В ходе изучения социально-средового анамнеза у детей с патологией глоточной миндалины, имеющих сниженные показатели качества жизни, выявлены значимые факторы риска. Данными факторами риска оказались: низкий уровень общей и санитарной культуры членов семьи детей, неполная семья, неблагоприятные материально-бытовые условия, пассивное курение ребенка (вдыхание окружающего воздуха с содержащимися в нем продуктами курения табака другими людьми), а также низкий образовательный ценз родителей. Особо следует указать, что дети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чаще (в 2 раза) сталкивались с пассивным курением в семье, чем дети с гипертрофией глоточной миндалины.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Среди детей основной группы, имеющих возраст 5–7 лет, достоверно чаще (p&lt;0,05) по сравнению с группой контроля встречались дети с уровнями физического развития: высокий, очень высокий, низкий и ниже среднего. В то время как у детей в возрасте 8–10 лет такой уровень физического развития как «ниже среднего» преобладал только среди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(p&lt;0,05). Достоверно чаще дисгармоничное физическое развитие встречалось среди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, причем во всех возрастных группах (p&lt;0,05).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lastRenderedPageBreak/>
        <w:t xml:space="preserve">При исследовании нервно-психического здоровья у детей всех обследуемых групп выявлено, что астенический синдром,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неврозоподобные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состояния и вредные привычки: сосать большой палец, грызть ногти, кусать губы, грызть ручку или карандаш и т.п. значимо преобладали в группе детей с гипертрофией глоточной миндалины.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При оценке значений показателей периферической крови у детей основной группы по сравнению с контролем достоверно значимыми оказались: снижение уровня гемоглобина до нижней границы нормы,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моноцитоз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 увеличение СОЭ. При расчете лейкоцитарного показателя эндогенной интоксикации организма было выявлено преобладание токсикоза I степени у детей с патологией глоточной миндалины. При этом у детей с хроническим аденоидом в возрастной группе 8–10 лет этот показатель был в 1,6 раза выше, чем у детей с гипертрофией глоточной миндалины. Содержания секреторного иммуноглобулина А (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IgA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) в ротовой жидкости детей с гипертрофией глоточной миндалины было достоверно ниже (p&lt;0,05) уровня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референтных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значений на фоне высоких показателей кортизола </w:t>
      </w:r>
      <w:proofErr w:type="gram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–  биологически</w:t>
      </w:r>
      <w:proofErr w:type="gram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активного глюкокортикоидного гормона, являющегося регулятором углеводного обмена организма, а также принимающего участие в развитии стрессовых реакций. Между тем как у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наблюдалось обратное – высокие показатели секреторного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IgA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при сниженном уровне кортизола в ротовой жидкости (p&lt;0,05).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При исследовании вегетативной регуляции у детей с гипертрофией глоточной миндалины было отмечено преобладание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ваготонии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с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асимпатической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вегетативной реактивностью (p&lt;0,01), что указывает на снижение адаптационных резервов организма. У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выявлено преобладание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симпатикотонии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с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гиперсимпатикотонией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(p&lt;0,05). Это свидетельствует об усилении у них адренергических влияний с вовлечением центрального контура регуляции и ослаблении роли гуморального канала вегетативной регуляции.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Заключение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Таким образом, для детей с патологией глоточной миндалины характерны сниженные адаптационные ресурсы, низкий уровень физического развития и его дисгармоничность, а также значительное напряжение вегетативной регуляции по сравнению со здоровыми сверстниками. При этом у детей с гипертрофией глоточной миндалины преобладала парасимпатическая вегетативная реактивность (20,3 %) на фоне повышенного содержания кортизола (до 145,64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нмоль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/л) в ротовой жидкости, в то время как у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доминировали симпатические влияния (32,7 %) и сниженное содержание кортизола (ниже 3,9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нмоль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/л). У большинства (89,15 %) обследованных детей с патологией глоточной миндалины по сравнению со здоровыми сверстниками отмечался более низкий уровень качества жизни по всем параметрам. Причем для детей с гипертрофией глоточной миндалины на фоне сниженных показателей качества жизни было характерно сочетание низкой резистентности (37,9 %) с уровнем секреторного иммуноглобулина А (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IgA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) в ротовой жидкости ниже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референтных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значений (до 21,86 мл/л), в то время как у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наиболее часто встречалось сочетание низкой резистентности (66,7 %) с уровнем секреторного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IgA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выше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референтных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значений (до 724,42 мг/л).</w:t>
      </w:r>
    </w:p>
    <w:p w:rsidR="00FF69AD" w:rsidRPr="00FF69AD" w:rsidRDefault="00FF69AD" w:rsidP="00FF69AD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Независимо от возраста у детей с патологией глоточной миндалины в большей степени страдало физическое и ролевое благополучие, в то время как в возрастной группе 8–10 лет все параметры качества жизни (физическое, ролевое, эмоциональное и социальное функционирование) были ниже, чем у детей 5–7 лет. При этом показатели ролевого функционирования (концентрация внимания, показатели обучения в школе, понимание изучаемого материала) к 8–10 годам жизни у детей с гипертрофией глоточной миндалины приближались к показателям детей с хроническим </w:t>
      </w:r>
      <w:proofErr w:type="spellStart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аденоидитом</w:t>
      </w:r>
      <w:proofErr w:type="spellEnd"/>
      <w:r w:rsidRPr="00FF69A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</w:t>
      </w:r>
    </w:p>
    <w:p w:rsidR="00FF69AD" w:rsidRPr="00FF69AD" w:rsidRDefault="00FF69AD" w:rsidP="00FF69AD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pict>
          <v:rect id="_x0000_i1027" style="width:0;height:0" o:hralign="center" o:hrstd="t" o:hr="t" fillcolor="#a0a0a0" stroked="f"/>
        </w:pict>
      </w:r>
    </w:p>
    <w:p w:rsidR="00FF69AD" w:rsidRPr="00FF69AD" w:rsidRDefault="00FF69AD" w:rsidP="00FF69A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43434"/>
          <w:sz w:val="33"/>
          <w:szCs w:val="33"/>
          <w:lang w:eastAsia="ru-RU"/>
        </w:rPr>
      </w:pPr>
      <w:r w:rsidRPr="00FF69AD">
        <w:rPr>
          <w:rFonts w:ascii="inherit" w:eastAsia="Times New Roman" w:hAnsi="inherit" w:cs="Arial"/>
          <w:color w:val="343434"/>
          <w:sz w:val="33"/>
          <w:szCs w:val="33"/>
          <w:lang w:eastAsia="ru-RU"/>
        </w:rPr>
        <w:t>Библиографическая ссылка</w:t>
      </w:r>
    </w:p>
    <w:p w:rsidR="00FF69AD" w:rsidRPr="00FF69AD" w:rsidRDefault="00FF69AD" w:rsidP="00FF69AD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Жмакин И.А., Алексеева Ю.А., Денисова Е.В., </w:t>
      </w:r>
      <w:proofErr w:type="spellStart"/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Шеховцов</w:t>
      </w:r>
      <w:proofErr w:type="spellEnd"/>
      <w:r w:rsidRPr="00FF69AD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В.П., Рыбакова М.В. КАЧЕСТВО ЖИЗНИ И ПОКАЗАТЕЛИ АДАПТАЦИИ У ДЕТЕЙ С ПАТОЛОГИЕЙ ГЛОТОЧНОЙ МИНДАЛИНЫ // Современные проблемы науки и образования. – 2017. – № 5.;</w:t>
      </w:r>
    </w:p>
    <w:p w:rsidR="00555703" w:rsidRDefault="00555703">
      <w:bookmarkStart w:id="0" w:name="_GoBack"/>
      <w:bookmarkEnd w:id="0"/>
    </w:p>
    <w:sectPr w:rsidR="0055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C18"/>
    <w:multiLevelType w:val="multilevel"/>
    <w:tmpl w:val="080C3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30825"/>
    <w:multiLevelType w:val="multilevel"/>
    <w:tmpl w:val="6450C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440BA"/>
    <w:multiLevelType w:val="multilevel"/>
    <w:tmpl w:val="A3DCB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E7D2D"/>
    <w:multiLevelType w:val="multilevel"/>
    <w:tmpl w:val="F354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714F8"/>
    <w:multiLevelType w:val="multilevel"/>
    <w:tmpl w:val="6622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AD"/>
    <w:rsid w:val="00555703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0A80-72CD-48A7-A5C7-6CA63000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3394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8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8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01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1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  <w:divsChild>
                <w:div w:id="10459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7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5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5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68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95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5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292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889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18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82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11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0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07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38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23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71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16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9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58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25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59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6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56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11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93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ru/about/expert" TargetMode="External"/><Relationship Id="rId13" Type="http://schemas.openxmlformats.org/officeDocument/2006/relationships/hyperlink" Target="http://www.science-education.ru/ru" TargetMode="External"/><Relationship Id="rId18" Type="http://schemas.openxmlformats.org/officeDocument/2006/relationships/hyperlink" Target="http://www.science-education.ru/article/view?id=27028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science-education.ru/pdf/2017/5/27028.pdf" TargetMode="External"/><Relationship Id="rId7" Type="http://schemas.openxmlformats.org/officeDocument/2006/relationships/hyperlink" Target="http://www.science-education.ru/ru/about/policy" TargetMode="External"/><Relationship Id="rId12" Type="http://schemas.openxmlformats.org/officeDocument/2006/relationships/hyperlink" Target="http://lk.science-education.ru/" TargetMode="External"/><Relationship Id="rId17" Type="http://schemas.openxmlformats.org/officeDocument/2006/relationships/hyperlink" Target="http://www.science-education.ru/article/view?id=27028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science-education.ru/article/view?id=27028" TargetMode="External"/><Relationship Id="rId20" Type="http://schemas.openxmlformats.org/officeDocument/2006/relationships/hyperlink" Target="http://www.science-education.ru/article/view?id=27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ru/about/ethics" TargetMode="External"/><Relationship Id="rId11" Type="http://schemas.openxmlformats.org/officeDocument/2006/relationships/hyperlink" Target="http://www.science-education.ru/ru/rules/index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www.science-education.ru/ru" TargetMode="External"/><Relationship Id="rId15" Type="http://schemas.openxmlformats.org/officeDocument/2006/relationships/hyperlink" Target="http://www.science-education.ru/ru/issue/view?id=149" TargetMode="External"/><Relationship Id="rId23" Type="http://schemas.openxmlformats.org/officeDocument/2006/relationships/hyperlink" Target="http://www.science-education.ru/pdf/2017/5/2702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ience-education.ru/ru/search/full" TargetMode="External"/><Relationship Id="rId19" Type="http://schemas.openxmlformats.org/officeDocument/2006/relationships/hyperlink" Target="http://www.science-education.ru/article/view?id=27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education.ru/ru/issue/index" TargetMode="External"/><Relationship Id="rId14" Type="http://schemas.openxmlformats.org/officeDocument/2006/relationships/hyperlink" Target="http://www.science-education.ru/ru/issue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Озерова</dc:creator>
  <cp:keywords/>
  <dc:description/>
  <cp:lastModifiedBy>Ирина В. Озерова</cp:lastModifiedBy>
  <cp:revision>1</cp:revision>
  <dcterms:created xsi:type="dcterms:W3CDTF">2018-02-13T07:31:00Z</dcterms:created>
  <dcterms:modified xsi:type="dcterms:W3CDTF">2018-02-13T07:34:00Z</dcterms:modified>
</cp:coreProperties>
</file>